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09883AE4"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09883AE4" w14:paraId="2AABFF45" w14:textId="77777777">
        <w:tc>
          <w:tcPr>
            <w:tcW w:w="4500" w:type="dxa"/>
            <w:tcMar/>
          </w:tcPr>
          <w:p w:rsidRPr="000838E6" w:rsidR="0072768E" w:rsidP="0072768E" w:rsidRDefault="0072768E" w14:paraId="68626E05" w14:textId="326B17C0">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Issue No.: 0</w:t>
            </w:r>
            <w:r w:rsidR="002C15A6">
              <w:rPr>
                <w:rFonts w:ascii="Calibri" w:hAnsi="Calibri" w:eastAsia="Times New Roman" w:cs="Times New Roman"/>
                <w:color w:val="4B658D"/>
                <w:sz w:val="22"/>
                <w:szCs w:val="22"/>
                <w:bdr w:val="none" w:color="auto" w:sz="0" w:space="0" w:frame="1"/>
                <w:lang w:eastAsia="zh-CN"/>
              </w:rPr>
              <w:t>3</w:t>
            </w:r>
          </w:p>
        </w:tc>
        <w:tc>
          <w:tcPr>
            <w:tcW w:w="4500" w:type="dxa"/>
            <w:tcMar/>
          </w:tcPr>
          <w:p w:rsidRPr="000838E6" w:rsidR="0072768E" w:rsidP="0072768E" w:rsidRDefault="0072768E" w14:paraId="2323ACE1" w14:textId="5ECFA4C9">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2C15A6">
              <w:rPr>
                <w:rFonts w:ascii="Calibri" w:hAnsi="Calibri" w:eastAsia="Times New Roman" w:cs="Times New Roman"/>
                <w:color w:val="4B658D"/>
                <w:sz w:val="22"/>
                <w:szCs w:val="22"/>
                <w:bdr w:val="none" w:color="auto" w:sz="0" w:space="0" w:frame="1"/>
                <w:lang w:eastAsia="zh-CN"/>
              </w:rPr>
              <w:t>0202008</w:t>
            </w:r>
          </w:p>
        </w:tc>
      </w:tr>
      <w:tr w:rsidR="0072768E" w:rsidTr="09883AE4" w14:paraId="413148C3" w14:textId="77777777">
        <w:tc>
          <w:tcPr>
            <w:tcW w:w="4500" w:type="dxa"/>
            <w:shd w:val="clear" w:color="auto" w:fill="4B658D"/>
            <w:tcMar/>
          </w:tcPr>
          <w:p w:rsidRPr="000838E6" w:rsidR="0072768E" w:rsidP="0072768E" w:rsidRDefault="0072768E" w14:paraId="236CB124" w14:textId="1E98AF7C">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Issue Date: 2</w:t>
            </w:r>
            <w:r w:rsidR="002C15A6">
              <w:rPr>
                <w:rFonts w:ascii="Calibri" w:hAnsi="Calibri" w:eastAsia="Times New Roman" w:cs="Times New Roman"/>
                <w:color w:val="FFFFFF" w:themeColor="background1"/>
                <w:sz w:val="22"/>
                <w:szCs w:val="22"/>
                <w:bdr w:val="none" w:color="auto" w:sz="0" w:space="0" w:frame="1"/>
                <w:lang w:eastAsia="zh-CN"/>
              </w:rPr>
              <w:t>7th</w:t>
            </w:r>
            <w:r w:rsidRPr="0072768E">
              <w:rPr>
                <w:rFonts w:ascii="Calibri" w:hAnsi="Calibri" w:eastAsia="Times New Roman" w:cs="Times New Roman"/>
                <w:color w:val="FFFFFF" w:themeColor="background1"/>
                <w:sz w:val="22"/>
                <w:szCs w:val="22"/>
                <w:bdr w:val="none" w:color="auto" w:sz="0" w:space="0" w:frame="1"/>
                <w:lang w:eastAsia="zh-CN"/>
              </w:rPr>
              <w:t xml:space="preserve"> June 2011</w:t>
            </w:r>
          </w:p>
        </w:tc>
        <w:tc>
          <w:tcPr>
            <w:tcW w:w="4500" w:type="dxa"/>
            <w:shd w:val="clear" w:color="auto" w:fill="4B658D"/>
            <w:tcMar/>
          </w:tcPr>
          <w:p w:rsidRPr="000838E6" w:rsidR="0072768E" w:rsidP="0072768E" w:rsidRDefault="0072768E" w14:paraId="1BD478F6"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Originator: Wayne Marshall</w:t>
            </w:r>
          </w:p>
        </w:tc>
      </w:tr>
      <w:tr w:rsidR="0072768E" w:rsidTr="09883AE4" w14:paraId="4B113E32" w14:textId="77777777">
        <w:tc>
          <w:tcPr>
            <w:tcW w:w="4500" w:type="dxa"/>
            <w:tcMar/>
          </w:tcPr>
          <w:p w:rsidRPr="000838E6" w:rsidR="0072768E" w:rsidP="07BBD420" w:rsidRDefault="0072768E" w14:paraId="1AC1410D" w14:textId="7BC4F63E">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Version: 1</w:t>
            </w:r>
            <w:r w:rsidRPr="0072768E">
              <w:rPr>
                <w:rFonts w:ascii="Calibri" w:hAnsi="Calibri" w:eastAsia="Times New Roman" w:cs="Times New Roman"/>
                <w:color w:val="4B658D"/>
                <w:sz w:val="22"/>
                <w:szCs w:val="22"/>
                <w:bdr w:val="none" w:color="auto" w:sz="0" w:space="0" w:frame="1"/>
                <w:lang w:eastAsia="zh-CN"/>
              </w:rPr>
              <w:t>1</w:t>
            </w:r>
          </w:p>
        </w:tc>
        <w:tc>
          <w:tcPr>
            <w:tcW w:w="4500" w:type="dxa"/>
            <w:tcMar/>
          </w:tcPr>
          <w:p w:rsidRPr="000838E6" w:rsidR="0072768E" w:rsidP="0072768E" w:rsidRDefault="0072768E" w14:paraId="02E94BE5" w14:textId="7777777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Responsibility: Principal</w:t>
            </w:r>
          </w:p>
        </w:tc>
      </w:tr>
      <w:tr w:rsidR="0072768E" w:rsidTr="09883AE4"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07BBD420" w:rsidRDefault="0072768E" w14:paraId="66D8D21E" w14:textId="0F3F4C70">
            <w:pPr>
              <w:rPr>
                <w:rFonts w:ascii="Calibri" w:hAnsi="Calibri" w:eastAsia="Times New Roman" w:cs="Times New Roman"/>
                <w:color w:val="FFFFFF" w:themeColor="background1" w:themeTint="FF" w:themeShade="FF"/>
                <w:sz w:val="22"/>
                <w:szCs w:val="22"/>
                <w:lang w:eastAsia="zh-CN"/>
              </w:rPr>
            </w:pPr>
            <w:r w:rsidRPr="0072768E" w:rsidR="0072768E">
              <w:rPr>
                <w:rFonts w:ascii="Calibri" w:hAnsi="Calibri" w:eastAsia="Times New Roman" w:cs="Times New Roman"/>
                <w:color w:val="FFFFFF" w:themeColor="background1"/>
                <w:sz w:val="22"/>
                <w:szCs w:val="22"/>
                <w:bdr w:val="none" w:color="auto" w:sz="0" w:space="0" w:frame="1"/>
                <w:lang w:eastAsia="zh-CN"/>
              </w:rPr>
              <w:t xml:space="preserve">Dated: </w:t>
            </w:r>
            <w:r w:rsidRPr="0072768E" w:rsidR="0072768E">
              <w:rPr>
                <w:rFonts w:ascii="Calibri" w:hAnsi="Calibri" w:eastAsia="Times New Roman" w:cs="Times New Roman"/>
                <w:color w:val="FFFFFF" w:themeColor="background1"/>
                <w:sz w:val="22"/>
                <w:szCs w:val="22"/>
                <w:bdr w:val="none" w:color="auto" w:sz="0" w:space="0" w:frame="1"/>
                <w:lang w:eastAsia="zh-CN"/>
              </w:rPr>
              <w:t>31</w:t>
            </w:r>
            <w:r w:rsidRPr="07BBD420" w:rsidR="0072768E">
              <w:rPr>
                <w:rFonts w:ascii="Calibri" w:hAnsi="Calibri" w:eastAsia="Times New Roman" w:cs="Times New Roman"/>
                <w:color w:val="FFFFFF" w:themeColor="background1"/>
                <w:sz w:val="22"/>
                <w:szCs w:val="22"/>
                <w:bdr w:val="none" w:color="auto" w:sz="0" w:space="0" w:frame="1"/>
                <w:vertAlign w:val="superscript"/>
                <w:lang w:eastAsia="zh-CN"/>
              </w:rPr>
              <w:t>st</w:t>
            </w:r>
            <w:r w:rsidRPr="0072768E" w:rsidR="0072768E">
              <w:rPr>
                <w:rFonts w:ascii="Calibri" w:hAnsi="Calibri" w:eastAsia="Times New Roman" w:cs="Times New Roman"/>
                <w:color w:val="FFFFFF" w:themeColor="background1"/>
                <w:sz w:val="22"/>
                <w:szCs w:val="22"/>
                <w:bdr w:val="none" w:color="auto" w:sz="0" w:space="0" w:frame="1"/>
                <w:lang w:eastAsia="zh-CN"/>
              </w:rPr>
              <w:t xml:space="preserve"> August 20</w:t>
            </w:r>
            <w:r w:rsidRPr="0072768E" w:rsidR="1B27C82D">
              <w:rPr>
                <w:rFonts w:ascii="Calibri" w:hAnsi="Calibri" w:eastAsia="Times New Roman" w:cs="Times New Roman"/>
                <w:color w:val="FFFFFF" w:themeColor="background1"/>
                <w:sz w:val="22"/>
                <w:szCs w:val="22"/>
                <w:bdr w:val="none" w:color="auto" w:sz="0" w:space="0" w:frame="1"/>
                <w:lang w:eastAsia="zh-CN"/>
              </w:rPr>
              <w:t xml:space="preserve">20</w:t>
            </w:r>
          </w:p>
        </w:tc>
      </w:tr>
      <w:tr w:rsidR="0072768E" w:rsidTr="09883AE4"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07BBD420" w:rsidRDefault="0072768E" w14:paraId="30E4B249" w14:textId="13276DE0">
            <w:pPr>
              <w:pStyle w:val="paragraph"/>
              <w:spacing w:before="0" w:beforeAutospacing="off" w:after="0" w:afterAutospacing="off"/>
              <w:textAlignment w:val="baseline"/>
              <w:rPr>
                <w:rStyle w:val="normaltextrun"/>
                <w:rFonts w:ascii="Calibri" w:hAnsi="Calibri" w:cs="Arial"/>
                <w:color w:val="4B658D"/>
                <w:sz w:val="22"/>
                <w:szCs w:val="22"/>
              </w:rPr>
            </w:pPr>
            <w:r w:rsidRPr="2D110FBE" w:rsidR="07BBD420">
              <w:rPr>
                <w:rStyle w:val="normaltextrun"/>
                <w:rFonts w:ascii="Calibri" w:hAnsi="Calibri" w:cs="Arial"/>
                <w:color w:val="4B658D"/>
                <w:sz w:val="22"/>
                <w:szCs w:val="22"/>
              </w:rPr>
              <w:t xml:space="preserve">Date: </w:t>
            </w:r>
            <w:r w:rsidRPr="2D110FBE" w:rsidR="07BBD420">
              <w:rPr>
                <w:rStyle w:val="normaltextrun"/>
                <w:rFonts w:ascii="Calibri" w:hAnsi="Calibri" w:cs="Arial"/>
                <w:color w:val="4B658D"/>
                <w:sz w:val="22"/>
                <w:szCs w:val="22"/>
              </w:rPr>
              <w:t>31</w:t>
            </w:r>
            <w:r w:rsidRPr="2D110FBE" w:rsidR="07BBD420">
              <w:rPr>
                <w:rStyle w:val="normaltextrun"/>
                <w:rFonts w:ascii="Calibri" w:hAnsi="Calibri" w:cs="Arial"/>
                <w:color w:val="4B658D"/>
                <w:sz w:val="22"/>
                <w:szCs w:val="22"/>
                <w:vertAlign w:val="superscript"/>
              </w:rPr>
              <w:t>st</w:t>
            </w:r>
            <w:r w:rsidRPr="2D110FBE" w:rsidR="07BBD420">
              <w:rPr>
                <w:rStyle w:val="normaltextrun"/>
                <w:rFonts w:ascii="Calibri" w:hAnsi="Calibri" w:cs="Arial"/>
                <w:color w:val="4B658D"/>
                <w:sz w:val="22"/>
                <w:szCs w:val="22"/>
              </w:rPr>
              <w:t xml:space="preserve"> August 20</w:t>
            </w:r>
            <w:r w:rsidRPr="2D110FBE" w:rsidR="14C9CA5A">
              <w:rPr>
                <w:rStyle w:val="normaltextrun"/>
                <w:rFonts w:ascii="Calibri" w:hAnsi="Calibri" w:cs="Arial"/>
                <w:color w:val="4B658D"/>
                <w:sz w:val="22"/>
                <w:szCs w:val="22"/>
              </w:rPr>
              <w:t>20</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rPr>
                <w:noProof/>
              </w:rP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Pr="002C15A6" w:rsidR="005A0C69" w:rsidP="005A0C69" w:rsidRDefault="005A0C69" w14:paraId="7529E645" w14:textId="695355E2">
      <w:pPr>
        <w:rPr>
          <w:rFonts w:ascii="Calibri" w:hAnsi="Calibri" w:cs="Arial"/>
        </w:rPr>
      </w:pPr>
    </w:p>
    <w:tbl>
      <w:tblPr>
        <w:tblW w:w="5000" w:type="pct"/>
        <w:jc w:val="center"/>
        <w:tblCellSpacing w:w="0" w:type="dxa"/>
        <w:tblCellMar>
          <w:top w:w="24" w:type="dxa"/>
          <w:left w:w="24" w:type="dxa"/>
          <w:bottom w:w="24" w:type="dxa"/>
          <w:right w:w="24" w:type="dxa"/>
        </w:tblCellMar>
        <w:tblLook w:val="0000" w:firstRow="0" w:lastRow="0" w:firstColumn="0" w:lastColumn="0" w:noHBand="0" w:noVBand="0"/>
      </w:tblPr>
      <w:tblGrid>
        <w:gridCol w:w="9020"/>
      </w:tblGrid>
      <w:tr w:rsidRPr="002C15A6" w:rsidR="005A0C69" w:rsidTr="2D110FBE" w14:paraId="61E2B22C" w14:textId="77777777">
        <w:trPr>
          <w:tblCellSpacing w:w="0" w:type="dxa"/>
          <w:jc w:val="center"/>
        </w:trPr>
        <w:tc>
          <w:tcPr>
            <w:tcW w:w="0" w:type="auto"/>
            <w:tcMar/>
            <w:vAlign w:val="center"/>
          </w:tcPr>
          <w:tbl>
            <w:tblPr>
              <w:tblpPr w:leftFromText="180" w:rightFromText="180" w:vertAnchor="text" w:horzAnchor="margin" w:tblpY="-125"/>
              <w:tblOverlap w:val="never"/>
              <w:tblW w:w="4944" w:type="pct"/>
              <w:tblCellSpacing w:w="12" w:type="dxa"/>
              <w:tblCellMar>
                <w:top w:w="48" w:type="dxa"/>
                <w:left w:w="48" w:type="dxa"/>
                <w:bottom w:w="48" w:type="dxa"/>
                <w:right w:w="48" w:type="dxa"/>
              </w:tblCellMar>
              <w:tblLook w:val="0000" w:firstRow="0" w:lastRow="0" w:firstColumn="0" w:lastColumn="0" w:noHBand="0" w:noVBand="0"/>
            </w:tblPr>
            <w:tblGrid>
              <w:gridCol w:w="8872"/>
            </w:tblGrid>
            <w:tr w:rsidRPr="002C15A6" w:rsidR="005A0C69" w:rsidTr="2D110FBE" w14:paraId="76B918A9" w14:textId="77777777">
              <w:trPr>
                <w:tblCellSpacing w:w="12" w:type="dxa"/>
              </w:trPr>
              <w:tc>
                <w:tcPr>
                  <w:tcW w:w="0" w:type="auto"/>
                  <w:tcMar/>
                </w:tcPr>
                <w:p w:rsidRPr="002C15A6" w:rsidR="005A0C69" w:rsidP="00A323E6" w:rsidRDefault="005A0C69" w14:paraId="6373CFFD" w14:textId="77777777">
                  <w:pPr>
                    <w:rPr>
                      <w:rFonts w:cstheme="minorHAnsi"/>
                      <w:u w:val="single"/>
                    </w:rPr>
                  </w:pPr>
                </w:p>
                <w:p w:rsidRPr="002C15A6" w:rsidR="005A0C69" w:rsidP="00A323E6" w:rsidRDefault="005A0C69" w14:paraId="6CFEFE8A" w14:textId="77777777">
                  <w:pPr>
                    <w:rPr>
                      <w:rFonts w:cstheme="minorHAnsi"/>
                      <w:color w:val="000000"/>
                    </w:rPr>
                  </w:pPr>
                  <w:r w:rsidRPr="002C15A6">
                    <w:rPr>
                      <w:rFonts w:cstheme="minorHAnsi"/>
                      <w:color w:val="000000"/>
                    </w:rPr>
                    <w:t>In accordance with the Code of Practice for the conduct of external qualifications produced by QCA, St. Andrew’s Cambridge is committed to ensuring that:</w:t>
                  </w:r>
                </w:p>
                <w:p w:rsidRPr="002C15A6" w:rsidR="005A0C69" w:rsidP="00A323E6" w:rsidRDefault="005A0C69" w14:paraId="0D77E7FA" w14:textId="77777777">
                  <w:pPr>
                    <w:rPr>
                      <w:rFonts w:cstheme="minorHAnsi"/>
                    </w:rPr>
                  </w:pPr>
                </w:p>
                <w:p w:rsidRPr="002C15A6" w:rsidR="005A0C69" w:rsidP="005A0C69" w:rsidRDefault="005A0C69" w14:paraId="4C0B0E67" w14:textId="77777777">
                  <w:pPr>
                    <w:numPr>
                      <w:ilvl w:val="0"/>
                      <w:numId w:val="2"/>
                    </w:numPr>
                    <w:rPr>
                      <w:rFonts w:cstheme="minorHAnsi"/>
                      <w:color w:val="000000"/>
                    </w:rPr>
                  </w:pPr>
                  <w:r w:rsidRPr="002C15A6">
                    <w:rPr>
                      <w:rFonts w:cstheme="minorHAnsi"/>
                      <w:color w:val="000000"/>
                    </w:rPr>
                    <w:t>internal assessments / continuous assessments are conducted by staff who have the appropriate knowledge, understanding and skills;</w:t>
                  </w:r>
                </w:p>
                <w:p w:rsidRPr="002C15A6" w:rsidR="005A0C69" w:rsidP="00A323E6" w:rsidRDefault="005A0C69" w14:paraId="5F34622D" w14:textId="77777777">
                  <w:pPr>
                    <w:rPr>
                      <w:rFonts w:cstheme="minorHAnsi"/>
                    </w:rPr>
                  </w:pPr>
                </w:p>
                <w:p w:rsidRPr="002C15A6" w:rsidR="005A0C69" w:rsidP="005A0C69" w:rsidRDefault="005A0C69" w14:paraId="77A7539A" w14:textId="77777777">
                  <w:pPr>
                    <w:numPr>
                      <w:ilvl w:val="0"/>
                      <w:numId w:val="2"/>
                    </w:numPr>
                    <w:rPr>
                      <w:rFonts w:cstheme="minorHAnsi"/>
                      <w:color w:val="000000"/>
                    </w:rPr>
                  </w:pPr>
                  <w:r w:rsidRPr="002C15A6">
                    <w:rPr>
                      <w:rFonts w:cstheme="minorHAnsi"/>
                      <w:color w:val="000000"/>
                    </w:rPr>
                    <w:t>assessment evidence provided by candidates has been produced and authenticated according to the requirements of the specification;</w:t>
                  </w:r>
                </w:p>
                <w:p w:rsidRPr="002C15A6" w:rsidR="005A0C69" w:rsidP="00A323E6" w:rsidRDefault="005A0C69" w14:paraId="693F336E" w14:textId="77777777">
                  <w:pPr>
                    <w:rPr>
                      <w:rFonts w:cstheme="minorHAnsi"/>
                    </w:rPr>
                  </w:pPr>
                </w:p>
                <w:p w:rsidRPr="002C15A6" w:rsidR="005A0C69" w:rsidP="005A0C69" w:rsidRDefault="005A0C69" w14:paraId="38A4DFCC" w14:textId="77777777">
                  <w:pPr>
                    <w:numPr>
                      <w:ilvl w:val="0"/>
                      <w:numId w:val="2"/>
                    </w:numPr>
                    <w:rPr>
                      <w:rFonts w:cstheme="minorHAnsi"/>
                      <w:color w:val="000000"/>
                    </w:rPr>
                  </w:pPr>
                  <w:r w:rsidRPr="002C15A6">
                    <w:rPr>
                      <w:rFonts w:cstheme="minorHAnsi"/>
                      <w:color w:val="000000"/>
                    </w:rPr>
                    <w:t>the consistency of the internal assessments is secured through internal standardisation as necessary;</w:t>
                  </w:r>
                </w:p>
                <w:p w:rsidRPr="002C15A6" w:rsidR="005A0C69" w:rsidP="00A323E6" w:rsidRDefault="005A0C69" w14:paraId="282A70F9" w14:textId="77777777">
                  <w:pPr>
                    <w:rPr>
                      <w:rFonts w:cstheme="minorHAnsi"/>
                    </w:rPr>
                  </w:pPr>
                </w:p>
                <w:p w:rsidRPr="002C15A6" w:rsidR="005A0C69" w:rsidP="005A0C69" w:rsidRDefault="005A0C69" w14:paraId="7F3CCE74" w14:textId="77777777">
                  <w:pPr>
                    <w:numPr>
                      <w:ilvl w:val="0"/>
                      <w:numId w:val="2"/>
                    </w:numPr>
                    <w:rPr>
                      <w:rFonts w:cstheme="minorHAnsi"/>
                      <w:color w:val="000000"/>
                    </w:rPr>
                  </w:pPr>
                  <w:r w:rsidRPr="002C15A6">
                    <w:rPr>
                      <w:rFonts w:cstheme="minorHAnsi"/>
                      <w:color w:val="000000"/>
                    </w:rPr>
                    <w:t>staff responsible for internal standardisation are to attend any compulsory training sessions that are laid on by the head of department.</w:t>
                  </w:r>
                </w:p>
                <w:p w:rsidRPr="002C15A6" w:rsidR="005A0C69" w:rsidP="00A323E6" w:rsidRDefault="005A0C69" w14:paraId="7504B3D1" w14:textId="77777777">
                  <w:pPr>
                    <w:rPr>
                      <w:rFonts w:cstheme="minorHAnsi"/>
                    </w:rPr>
                  </w:pPr>
                </w:p>
                <w:p w:rsidRPr="002C15A6" w:rsidR="005A0C69" w:rsidP="00A323E6" w:rsidRDefault="005A0C69" w14:paraId="50735F0C" w14:textId="77777777">
                  <w:pPr>
                    <w:rPr>
                      <w:rFonts w:cstheme="minorHAnsi"/>
                    </w:rPr>
                  </w:pPr>
                </w:p>
                <w:p w:rsidRPr="002C15A6" w:rsidR="005A0C69" w:rsidP="00A323E6" w:rsidRDefault="005A0C69" w14:paraId="75122E97" w14:textId="77777777">
                  <w:pPr>
                    <w:ind w:left="720" w:hanging="720"/>
                    <w:rPr>
                      <w:rFonts w:cstheme="minorHAnsi"/>
                      <w:color w:val="000000"/>
                    </w:rPr>
                  </w:pPr>
                  <w:r w:rsidRPr="002C15A6">
                    <w:rPr>
                      <w:rFonts w:cstheme="minorHAnsi"/>
                      <w:color w:val="000000"/>
                    </w:rPr>
                    <w:t>Written appeals procedure</w:t>
                  </w:r>
                </w:p>
                <w:p w:rsidRPr="002C15A6" w:rsidR="005A0C69" w:rsidP="00A323E6" w:rsidRDefault="005A0C69" w14:paraId="559251E3" w14:textId="77777777">
                  <w:pPr>
                    <w:ind w:left="720" w:hanging="720"/>
                    <w:rPr>
                      <w:rFonts w:cstheme="minorHAnsi"/>
                    </w:rPr>
                  </w:pPr>
                </w:p>
                <w:p w:rsidRPr="002C15A6" w:rsidR="005A0C69" w:rsidP="00A323E6" w:rsidRDefault="005A0C69" w14:paraId="695C5531" w14:textId="77777777">
                  <w:pPr>
                    <w:rPr>
                      <w:rFonts w:cstheme="minorHAnsi"/>
                      <w:color w:val="000000"/>
                    </w:rPr>
                  </w:pPr>
                  <w:r w:rsidRPr="002C15A6">
                    <w:rPr>
                      <w:rFonts w:cstheme="minorHAnsi"/>
                      <w:color w:val="000000"/>
                    </w:rPr>
                    <w:t xml:space="preserve">Each awarding body publishes its arrangements for appeals against its decisions.  In addition, an appeal can be made to the College concerning internal assessment / continuous assessments: </w:t>
                  </w:r>
                </w:p>
                <w:p w:rsidRPr="002C15A6" w:rsidR="005A0C69" w:rsidP="00A323E6" w:rsidRDefault="005A0C69" w14:paraId="163D2FF1" w14:textId="77777777">
                  <w:pPr>
                    <w:rPr>
                      <w:rFonts w:cstheme="minorHAnsi"/>
                    </w:rPr>
                  </w:pPr>
                </w:p>
                <w:p w:rsidRPr="002C15A6" w:rsidR="005A0C69" w:rsidP="00A323E6" w:rsidRDefault="005A0C69" w14:paraId="4464DCAF" w14:textId="77777777">
                  <w:pPr>
                    <w:numPr>
                      <w:ilvl w:val="0"/>
                      <w:numId w:val="1"/>
                    </w:numPr>
                    <w:rPr>
                      <w:rFonts w:cstheme="minorHAnsi"/>
                      <w:color w:val="000000"/>
                    </w:rPr>
                  </w:pPr>
                  <w:r w:rsidRPr="002C15A6">
                    <w:rPr>
                      <w:rFonts w:cstheme="minorHAnsi"/>
                      <w:color w:val="000000"/>
                    </w:rPr>
                    <w:t xml:space="preserve">the appeal applies only to the procedures used in arriving at internal assessment decisions and does </w:t>
                  </w:r>
                  <w:r w:rsidRPr="002C15A6">
                    <w:rPr>
                      <w:rFonts w:cstheme="minorHAnsi"/>
                      <w:color w:val="000000"/>
                      <w:u w:val="single"/>
                    </w:rPr>
                    <w:t>not</w:t>
                  </w:r>
                  <w:r w:rsidRPr="002C15A6">
                    <w:rPr>
                      <w:rFonts w:cstheme="minorHAnsi"/>
                      <w:color w:val="000000"/>
                    </w:rPr>
                    <w:t xml:space="preserve"> apply to the judgement themselves; you cannot appeal against the mark or grade, only the procedures used</w:t>
                  </w:r>
                  <w:r w:rsidRPr="002C15A6">
                    <w:rPr>
                      <w:rFonts w:cstheme="minorHAnsi"/>
                    </w:rPr>
                    <w:t xml:space="preserve"> </w:t>
                  </w:r>
                </w:p>
                <w:p w:rsidRPr="002C15A6" w:rsidR="005A0C69" w:rsidP="00A323E6" w:rsidRDefault="005A0C69" w14:paraId="6C72FEE3" w14:textId="77777777">
                  <w:pPr>
                    <w:numPr>
                      <w:ilvl w:val="0"/>
                      <w:numId w:val="1"/>
                    </w:numPr>
                    <w:adjustRightInd w:val="0"/>
                    <w:rPr>
                      <w:rFonts w:cstheme="minorHAnsi"/>
                      <w:i/>
                      <w:iCs/>
                      <w:color w:val="000000"/>
                    </w:rPr>
                  </w:pPr>
                  <w:r w:rsidRPr="002C15A6">
                    <w:rPr>
                      <w:rFonts w:cstheme="minorHAnsi"/>
                      <w:color w:val="000000"/>
                    </w:rPr>
                    <w:t>the parent or guardian must make the appeal in writing to the College’s Examinations Officer</w:t>
                  </w:r>
                  <w:r w:rsidRPr="002C15A6">
                    <w:rPr>
                      <w:rFonts w:cstheme="minorHAnsi"/>
                      <w:iCs/>
                      <w:color w:val="000000"/>
                    </w:rPr>
                    <w:t>:</w:t>
                  </w:r>
                  <w:r w:rsidRPr="002C15A6">
                    <w:rPr>
                      <w:rFonts w:cstheme="minorHAnsi"/>
                      <w:color w:val="000000"/>
                    </w:rPr>
                    <w:t xml:space="preserve"> </w:t>
                  </w:r>
                  <w:r w:rsidRPr="002C15A6">
                    <w:rPr>
                      <w:rFonts w:cstheme="minorHAnsi"/>
                      <w:i/>
                      <w:iCs/>
                      <w:color w:val="000000"/>
                    </w:rPr>
                    <w:t>appeals should normally be made by 30</w:t>
                  </w:r>
                  <w:r w:rsidRPr="002C15A6">
                    <w:rPr>
                      <w:rFonts w:cstheme="minorHAnsi"/>
                      <w:i/>
                      <w:iCs/>
                      <w:color w:val="000000"/>
                      <w:vertAlign w:val="superscript"/>
                    </w:rPr>
                    <w:t>th</w:t>
                  </w:r>
                  <w:r w:rsidRPr="002C15A6">
                    <w:rPr>
                      <w:rFonts w:cstheme="minorHAnsi"/>
                      <w:i/>
                      <w:iCs/>
                      <w:color w:val="000000"/>
                    </w:rPr>
                    <w:t xml:space="preserve"> August for examinations in the summer series.  This deadline may be extended in exceptional circumstances in situations where the coursework marking, and moderation schedule extends beyond this time.</w:t>
                  </w:r>
                  <w:r w:rsidRPr="002C15A6">
                    <w:rPr>
                      <w:rFonts w:cstheme="minorHAnsi"/>
                    </w:rPr>
                    <w:t xml:space="preserve"> </w:t>
                  </w:r>
                </w:p>
                <w:p w:rsidRPr="002C15A6" w:rsidR="005A0C69" w:rsidP="00A323E6" w:rsidRDefault="005A0C69" w14:paraId="12A93817" w14:textId="77777777">
                  <w:pPr>
                    <w:numPr>
                      <w:ilvl w:val="0"/>
                      <w:numId w:val="1"/>
                    </w:numPr>
                    <w:rPr>
                      <w:rFonts w:cstheme="minorHAnsi"/>
                      <w:color w:val="000000"/>
                    </w:rPr>
                  </w:pPr>
                  <w:r w:rsidRPr="002C15A6">
                    <w:rPr>
                      <w:rFonts w:cstheme="minorHAnsi"/>
                      <w:color w:val="000000"/>
                    </w:rPr>
                    <w:t>the enquiry into the internal process will normally be led by the Examinations Officer, if he/she has not played any part in the original internal assessment process;</w:t>
                  </w:r>
                  <w:r w:rsidRPr="002C15A6">
                    <w:rPr>
                      <w:rFonts w:cstheme="minorHAnsi"/>
                    </w:rPr>
                    <w:t xml:space="preserve"> </w:t>
                  </w:r>
                </w:p>
                <w:p w:rsidRPr="002C15A6" w:rsidR="005A0C69" w:rsidP="00A323E6" w:rsidRDefault="005A0C69" w14:paraId="00D973F2" w14:textId="77777777">
                  <w:pPr>
                    <w:numPr>
                      <w:ilvl w:val="0"/>
                      <w:numId w:val="1"/>
                    </w:numPr>
                    <w:rPr>
                      <w:rFonts w:cstheme="minorHAnsi"/>
                      <w:color w:val="000000"/>
                    </w:rPr>
                  </w:pPr>
                  <w:r w:rsidRPr="002C15A6">
                    <w:rPr>
                      <w:rFonts w:cstheme="minorHAnsi"/>
                      <w:color w:val="000000"/>
                    </w:rPr>
                    <w:lastRenderedPageBreak/>
                    <w:t xml:space="preserve">the teacher making the assessment will be able to respond to the appeal in writing, and a copy will be sent to the </w:t>
                  </w:r>
                  <w:r w:rsidRPr="002C15A6">
                    <w:rPr>
                      <w:rFonts w:cstheme="minorHAnsi"/>
                      <w:i/>
                      <w:color w:val="000000"/>
                    </w:rPr>
                    <w:t>appellant;</w:t>
                  </w:r>
                  <w:r w:rsidRPr="002C15A6">
                    <w:rPr>
                      <w:rFonts w:cstheme="minorHAnsi"/>
                    </w:rPr>
                    <w:t xml:space="preserve"> </w:t>
                  </w:r>
                </w:p>
                <w:p w:rsidRPr="002C15A6" w:rsidR="005A0C69" w:rsidP="00A323E6" w:rsidRDefault="005A0C69" w14:paraId="3141B71F" w14:textId="77777777">
                  <w:pPr>
                    <w:numPr>
                      <w:ilvl w:val="0"/>
                      <w:numId w:val="1"/>
                    </w:numPr>
                    <w:rPr>
                      <w:rFonts w:cstheme="minorHAnsi"/>
                      <w:color w:val="000000"/>
                    </w:rPr>
                  </w:pPr>
                  <w:r w:rsidRPr="002C15A6">
                    <w:rPr>
                      <w:rFonts w:cstheme="minorHAnsi"/>
                      <w:color w:val="000000"/>
                    </w:rPr>
                    <w:t>the enquiry will consider whether the procedures used for the internal assessment were in conformity with the published requirements of the Awarding Body and the ‘Code of Practice’.</w:t>
                  </w:r>
                </w:p>
                <w:p w:rsidRPr="002C15A6" w:rsidR="005A0C69" w:rsidP="00A323E6" w:rsidRDefault="005A0C69" w14:paraId="411B008C" w14:textId="77777777">
                  <w:pPr>
                    <w:ind w:left="720" w:hanging="720"/>
                    <w:rPr>
                      <w:rFonts w:cstheme="minorHAnsi"/>
                    </w:rPr>
                  </w:pPr>
                </w:p>
                <w:p w:rsidRPr="002C15A6" w:rsidR="005A0C69" w:rsidP="00A323E6" w:rsidRDefault="005A0C69" w14:paraId="43F0C97F" w14:textId="77777777">
                  <w:pPr>
                    <w:ind w:left="720" w:hanging="720"/>
                    <w:rPr>
                      <w:rFonts w:cstheme="minorHAnsi"/>
                      <w:color w:val="000000"/>
                    </w:rPr>
                  </w:pPr>
                  <w:r w:rsidRPr="002C15A6">
                    <w:rPr>
                      <w:rFonts w:cstheme="minorHAnsi"/>
                      <w:color w:val="000000"/>
                    </w:rPr>
                    <w:t>The appellant will be informed in writing of the outcome of the appeal, including:</w:t>
                  </w:r>
                </w:p>
                <w:p w:rsidRPr="002C15A6" w:rsidR="005A0C69" w:rsidP="00A323E6" w:rsidRDefault="005A0C69" w14:paraId="076EEC00" w14:textId="77777777">
                  <w:pPr>
                    <w:ind w:left="720" w:hanging="720"/>
                    <w:rPr>
                      <w:rFonts w:cstheme="minorHAnsi"/>
                    </w:rPr>
                  </w:pPr>
                </w:p>
                <w:p w:rsidRPr="002C15A6" w:rsidR="005A0C69" w:rsidP="005A0C69" w:rsidRDefault="005A0C69" w14:paraId="45606DD4" w14:textId="77777777">
                  <w:pPr>
                    <w:numPr>
                      <w:ilvl w:val="0"/>
                      <w:numId w:val="3"/>
                    </w:numPr>
                    <w:rPr>
                      <w:rFonts w:cstheme="minorHAnsi"/>
                      <w:color w:val="000000"/>
                    </w:rPr>
                  </w:pPr>
                  <w:r w:rsidRPr="002C15A6">
                    <w:rPr>
                      <w:rFonts w:cstheme="minorHAnsi"/>
                      <w:color w:val="000000"/>
                    </w:rPr>
                    <w:t>relevant communications with the Awarding Body;</w:t>
                  </w:r>
                </w:p>
                <w:p w:rsidRPr="002C15A6" w:rsidR="005A0C69" w:rsidP="00A323E6" w:rsidRDefault="005A0C69" w14:paraId="1F622FD7" w14:textId="77777777">
                  <w:pPr>
                    <w:ind w:left="720" w:hanging="720"/>
                    <w:rPr>
                      <w:rFonts w:cstheme="minorHAnsi"/>
                    </w:rPr>
                  </w:pPr>
                </w:p>
                <w:p w:rsidRPr="002C15A6" w:rsidR="005A0C69" w:rsidP="005A0C69" w:rsidRDefault="005A0C69" w14:paraId="14D20C12" w14:textId="77777777">
                  <w:pPr>
                    <w:numPr>
                      <w:ilvl w:val="0"/>
                      <w:numId w:val="3"/>
                    </w:numPr>
                    <w:rPr>
                      <w:rFonts w:cstheme="minorHAnsi"/>
                      <w:color w:val="000000"/>
                    </w:rPr>
                  </w:pPr>
                  <w:r w:rsidRPr="002C15A6">
                    <w:rPr>
                      <w:rFonts w:cstheme="minorHAnsi"/>
                      <w:color w:val="000000"/>
                    </w:rPr>
                    <w:t>any steps taken to further protect the interest of the candidates.</w:t>
                  </w:r>
                </w:p>
                <w:p w:rsidRPr="002C15A6" w:rsidR="005A0C69" w:rsidP="00A323E6" w:rsidRDefault="005A0C69" w14:paraId="5925D485" w14:textId="77777777">
                  <w:pPr>
                    <w:ind w:left="720" w:hanging="720"/>
                    <w:rPr>
                      <w:rFonts w:cstheme="minorHAnsi"/>
                    </w:rPr>
                  </w:pPr>
                </w:p>
                <w:p w:rsidRPr="002C15A6" w:rsidR="005A0C69" w:rsidP="00A323E6" w:rsidRDefault="005A0C69" w14:paraId="1B56E52F" w14:textId="77777777">
                  <w:pPr>
                    <w:rPr>
                      <w:rFonts w:cstheme="minorHAnsi"/>
                      <w:color w:val="000000"/>
                    </w:rPr>
                  </w:pPr>
                  <w:r w:rsidRPr="002C15A6">
                    <w:rPr>
                      <w:rFonts w:cstheme="minorHAnsi"/>
                      <w:color w:val="000000"/>
                    </w:rPr>
                    <w:t>If the appellant is unhappy about the response in writing, he/she can ask for a personal hearing, where the panel will consist of two persons not previously involved, normally the Principal and a Director.</w:t>
                  </w:r>
                </w:p>
                <w:p w:rsidRPr="002C15A6" w:rsidR="005A0C69" w:rsidP="00A323E6" w:rsidRDefault="005A0C69" w14:paraId="6FA30101" w14:textId="77777777">
                  <w:pPr>
                    <w:ind w:left="720" w:hanging="720"/>
                    <w:rPr>
                      <w:rFonts w:cstheme="minorHAnsi"/>
                    </w:rPr>
                  </w:pPr>
                </w:p>
                <w:p w:rsidRPr="002C15A6" w:rsidR="005A0C69" w:rsidP="00A323E6" w:rsidRDefault="005A0C69" w14:paraId="5B6A87C3" w14:textId="77777777">
                  <w:pPr>
                    <w:rPr>
                      <w:rFonts w:cstheme="minorHAnsi"/>
                      <w:color w:val="000000"/>
                    </w:rPr>
                  </w:pPr>
                  <w:r w:rsidRPr="002C15A6">
                    <w:rPr>
                      <w:rFonts w:cstheme="minorHAnsi"/>
                      <w:color w:val="000000"/>
                    </w:rPr>
                    <w:t>Enquiries About Results (Re-marks)</w:t>
                  </w:r>
                  <w:bookmarkStart w:name="_GoBack" w:id="0"/>
                  <w:bookmarkEnd w:id="0"/>
                </w:p>
                <w:p w:rsidRPr="002C15A6" w:rsidR="005A0C69" w:rsidP="00A323E6" w:rsidRDefault="005A0C69" w14:paraId="20E71C2F" w14:textId="77777777">
                  <w:pPr>
                    <w:rPr>
                      <w:rFonts w:cstheme="minorHAnsi"/>
                    </w:rPr>
                  </w:pPr>
                </w:p>
                <w:p w:rsidRPr="002C15A6" w:rsidR="005A0C69" w:rsidP="00A323E6" w:rsidRDefault="005A0C69" w14:paraId="5D30F078" w14:textId="77777777">
                  <w:pPr>
                    <w:rPr>
                      <w:rFonts w:cstheme="minorHAnsi"/>
                      <w:color w:val="000000"/>
                    </w:rPr>
                  </w:pPr>
                  <w:r w:rsidRPr="002C15A6">
                    <w:rPr>
                      <w:rFonts w:cstheme="minorHAnsi"/>
                      <w:color w:val="000000"/>
                    </w:rPr>
                    <w:t>In cases of Enquiries About Results, where the College does not uphold a request for such an enquiry, the student may normally pay to have an enquiry carried out. Where the student wishes to challenge the decision not to hold an enquiry or consequent appeal, a similar procedure to that mentioned above will be carried out.</w:t>
                  </w:r>
                </w:p>
                <w:p w:rsidRPr="002C15A6" w:rsidR="005A0C69" w:rsidP="00A323E6" w:rsidRDefault="005A0C69" w14:paraId="39860AAE" w14:textId="77777777">
                  <w:pPr>
                    <w:rPr>
                      <w:rFonts w:cstheme="minorHAnsi"/>
                    </w:rPr>
                  </w:pPr>
                </w:p>
                <w:p w:rsidRPr="002C15A6" w:rsidR="005A0C69" w:rsidP="00A323E6" w:rsidRDefault="005A0C69" w14:paraId="66547BF1" w14:textId="77777777">
                  <w:pPr>
                    <w:rPr>
                      <w:rFonts w:cstheme="minorHAnsi"/>
                      <w:color w:val="000000"/>
                    </w:rPr>
                  </w:pPr>
                  <w:r w:rsidRPr="002C15A6">
                    <w:rPr>
                      <w:rFonts w:cstheme="minorHAnsi"/>
                      <w:color w:val="000000"/>
                    </w:rPr>
                    <w:t>Note:</w:t>
                  </w:r>
                </w:p>
                <w:p w:rsidRPr="002C15A6" w:rsidR="005A0C69" w:rsidP="00A323E6" w:rsidRDefault="005A0C69" w14:paraId="5223B85F" w14:textId="77777777">
                  <w:pPr>
                    <w:rPr>
                      <w:rFonts w:cstheme="minorHAnsi"/>
                      <w:color w:val="000000"/>
                    </w:rPr>
                  </w:pPr>
                  <w:r w:rsidRPr="002C15A6">
                    <w:rPr>
                      <w:rFonts w:cstheme="minorHAnsi"/>
                      <w:color w:val="000000"/>
                    </w:rPr>
                    <w:t>Each awarding body specifies detailed criteria for the internal assessment of work.  In addition, the awarding body must moderate the assessment and the final judgement on marks awarded.  Appeals against matters outside the College’s control will not be considered in the College’s appeals procedure.</w:t>
                  </w:r>
                </w:p>
                <w:p w:rsidRPr="002C15A6" w:rsidR="005A0C69" w:rsidP="00A323E6" w:rsidRDefault="005A0C69" w14:paraId="3F64FCF6" w14:textId="77777777">
                  <w:pPr>
                    <w:rPr>
                      <w:rFonts w:cstheme="minorHAnsi"/>
                      <w:color w:val="000000"/>
                    </w:rPr>
                  </w:pPr>
                </w:p>
                <w:p w:rsidRPr="002C15A6" w:rsidR="005A0C69" w:rsidP="00A323E6" w:rsidRDefault="005A0C69" w14:paraId="20494B27" w14:textId="77777777">
                  <w:pPr>
                    <w:rPr>
                      <w:rFonts w:cstheme="minorHAnsi"/>
                      <w:color w:val="000000"/>
                    </w:rPr>
                  </w:pPr>
                </w:p>
                <w:p w:rsidRPr="002C15A6" w:rsidR="005A0C69" w:rsidP="00A323E6" w:rsidRDefault="005A0C69" w14:paraId="36D4CC38" w14:textId="77777777">
                  <w:pPr>
                    <w:rPr>
                      <w:rFonts w:cstheme="minorHAnsi"/>
                      <w:b/>
                      <w:bCs/>
                    </w:rPr>
                  </w:pPr>
                  <w:r w:rsidRPr="002C15A6">
                    <w:rPr>
                      <w:rFonts w:cstheme="minorHAnsi"/>
                      <w:b/>
                      <w:bCs/>
                    </w:rPr>
                    <w:t>Reviewed:</w:t>
                  </w:r>
                </w:p>
                <w:p w:rsidRPr="002C15A6" w:rsidR="005A0C69" w:rsidP="00A323E6" w:rsidRDefault="005A0C69" w14:paraId="1CAB4AE6" w14:textId="77777777">
                  <w:pPr>
                    <w:rPr>
                      <w:rFonts w:cstheme="minorHAnsi"/>
                      <w:b/>
                      <w:bCs/>
                    </w:rPr>
                  </w:pPr>
                </w:p>
                <w:p w:rsidRPr="002C15A6" w:rsidR="005A0C69" w:rsidP="07BBD420" w:rsidRDefault="005A0C69" w14:paraId="72652920" w14:textId="16229BA3">
                  <w:pPr>
                    <w:rPr>
                      <w:rFonts w:cs="Calibri" w:cstheme="minorAscii"/>
                      <w:b w:val="1"/>
                      <w:bCs w:val="1"/>
                    </w:rPr>
                  </w:pPr>
                  <w:r w:rsidRPr="2D110FBE" w:rsidR="07BBD420">
                    <w:rPr>
                      <w:rFonts w:cs="Calibri" w:cstheme="minorAscii"/>
                      <w:b w:val="1"/>
                      <w:bCs w:val="1"/>
                    </w:rPr>
                    <w:t>September 2009, 2010, 2011, 2012, 2013, July 2014, July 2105, July 2016, July 2017</w:t>
                  </w:r>
                  <w:r w:rsidRPr="2D110FBE" w:rsidR="07BBD420">
                    <w:rPr>
                      <w:rFonts w:cs="Calibri" w:cstheme="minorAscii"/>
                      <w:b w:val="1"/>
                      <w:bCs w:val="1"/>
                    </w:rPr>
                    <w:t xml:space="preserve">, </w:t>
                  </w:r>
                  <w:r w:rsidRPr="2D110FBE" w:rsidR="07BBD420">
                    <w:rPr>
                      <w:rFonts w:cs="Calibri" w:cstheme="minorAscii"/>
                      <w:b w:val="1"/>
                      <w:bCs w:val="1"/>
                    </w:rPr>
                    <w:t>July 2018</w:t>
                  </w:r>
                  <w:r w:rsidRPr="2D110FBE" w:rsidR="07BBD420">
                    <w:rPr>
                      <w:rFonts w:cs="Calibri" w:cstheme="minorAscii"/>
                      <w:b w:val="1"/>
                      <w:bCs w:val="1"/>
                    </w:rPr>
                    <w:t>, August 2019</w:t>
                  </w:r>
                  <w:r w:rsidRPr="2D110FBE" w:rsidR="18B43C12">
                    <w:rPr>
                      <w:rFonts w:cs="Calibri" w:cstheme="minorAscii"/>
                      <w:b w:val="1"/>
                      <w:bCs w:val="1"/>
                    </w:rPr>
                    <w:t xml:space="preserve"> and August 2020</w:t>
                  </w:r>
                </w:p>
                <w:p w:rsidRPr="002C15A6" w:rsidR="005A0C69" w:rsidP="00A323E6" w:rsidRDefault="005A0C69" w14:paraId="2DE7AD15" w14:textId="77777777">
                  <w:pPr>
                    <w:rPr>
                      <w:rFonts w:cstheme="minorHAnsi"/>
                      <w:b/>
                      <w:bCs/>
                    </w:rPr>
                  </w:pPr>
                </w:p>
                <w:p w:rsidRPr="002C15A6" w:rsidR="005A0C69" w:rsidP="07BBD420" w:rsidRDefault="005A0C69" w14:paraId="2BE7CD3B" w14:textId="18952362">
                  <w:pPr>
                    <w:rPr>
                      <w:rFonts w:cs="Calibri" w:cstheme="minorAscii"/>
                    </w:rPr>
                  </w:pPr>
                  <w:r w:rsidRPr="2D110FBE" w:rsidR="07BBD420">
                    <w:rPr>
                      <w:rFonts w:cs="Calibri" w:cstheme="minorAscii"/>
                      <w:b w:val="1"/>
                      <w:bCs w:val="1"/>
                    </w:rPr>
                    <w:t>Next review: August 20</w:t>
                  </w:r>
                  <w:r w:rsidRPr="2D110FBE" w:rsidR="07BBD420">
                    <w:rPr>
                      <w:rFonts w:cs="Calibri" w:cstheme="minorAscii"/>
                      <w:b w:val="1"/>
                      <w:bCs w:val="1"/>
                    </w:rPr>
                    <w:t>2</w:t>
                  </w:r>
                  <w:r w:rsidRPr="2D110FBE" w:rsidR="2C541697">
                    <w:rPr>
                      <w:rFonts w:cs="Calibri" w:cstheme="minorAscii"/>
                      <w:b w:val="1"/>
                      <w:bCs w:val="1"/>
                    </w:rPr>
                    <w:t>1</w:t>
                  </w:r>
                  <w:r w:rsidRPr="2D110FBE" w:rsidR="07BBD420">
                    <w:rPr>
                      <w:rFonts w:cs="Calibri" w:cstheme="minorAscii"/>
                      <w:b w:val="1"/>
                      <w:bCs w:val="1"/>
                    </w:rPr>
                    <w:t>.</w:t>
                  </w:r>
                </w:p>
              </w:tc>
            </w:tr>
            <w:tr w:rsidRPr="002C15A6" w:rsidR="005A0C69" w:rsidTr="2D110FBE" w14:paraId="6F03379A" w14:textId="77777777">
              <w:trPr>
                <w:tblCellSpacing w:w="12" w:type="dxa"/>
              </w:trPr>
              <w:tc>
                <w:tcPr>
                  <w:tcW w:w="0" w:type="auto"/>
                  <w:tcMar/>
                </w:tcPr>
                <w:p w:rsidRPr="002C15A6" w:rsidR="005A0C69" w:rsidP="00A323E6" w:rsidRDefault="005A0C69" w14:paraId="35F40F7E" w14:textId="77777777">
                  <w:pPr>
                    <w:rPr>
                      <w:rFonts w:cstheme="minorHAnsi"/>
                    </w:rPr>
                  </w:pPr>
                </w:p>
              </w:tc>
            </w:tr>
          </w:tbl>
          <w:p w:rsidRPr="002C15A6" w:rsidR="005A0C69" w:rsidP="00A323E6" w:rsidRDefault="005A0C69" w14:paraId="6978FF30" w14:textId="77777777">
            <w:pPr>
              <w:rPr>
                <w:rFonts w:cstheme="minorHAnsi"/>
              </w:rPr>
            </w:pPr>
          </w:p>
        </w:tc>
      </w:tr>
    </w:tbl>
    <w:p w:rsidRPr="002C15A6" w:rsidR="00CB4A10" w:rsidP="0072768E" w:rsidRDefault="00CB4A10" w14:paraId="1686B805" w14:textId="77777777">
      <w:pPr>
        <w:rPr>
          <w:rFonts w:cstheme="minorHAnsi"/>
          <w:color w:val="4B658D"/>
        </w:rPr>
      </w:pPr>
    </w:p>
    <w:sectPr w:rsidRPr="002C15A6" w:rsidR="00CB4A10" w:rsidSect="00CB5ECD">
      <w:headerReference w:type="default" r:id="rId8"/>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09883AE4" w14:paraId="65A3A8EB" w14:textId="77777777">
      <w:tc>
        <w:tcPr>
          <w:tcW w:w="4505" w:type="dxa"/>
          <w:shd w:val="clear" w:color="auto" w:fill="auto"/>
          <w:tcMar/>
          <w:vAlign w:val="center"/>
        </w:tcPr>
        <w:p w:rsidRPr="00CB4A10" w:rsidR="005501B4" w:rsidP="005501B4" w:rsidRDefault="005A0C69" w14:paraId="3E05C51C" w14:textId="07B0035E">
          <w:pPr>
            <w:pStyle w:val="Header"/>
            <w:rPr>
              <w:b/>
              <w:bCs/>
              <w:color w:val="4B658D"/>
              <w:sz w:val="40"/>
              <w:szCs w:val="40"/>
            </w:rPr>
          </w:pPr>
          <w:r>
            <w:rPr>
              <w:b/>
              <w:bCs/>
              <w:color w:val="4B658D"/>
              <w:sz w:val="40"/>
              <w:szCs w:val="40"/>
            </w:rPr>
            <w:t>Internal Appeals Policy</w:t>
          </w:r>
        </w:p>
      </w:tc>
      <w:tc>
        <w:tcPr>
          <w:tcW w:w="4505" w:type="dxa"/>
          <w:shd w:val="clear" w:color="auto" w:fill="auto"/>
          <w:tcMar/>
          <w:vAlign w:val="center"/>
        </w:tcPr>
        <w:p w:rsidR="00CB4A10" w:rsidP="00CB4A10" w:rsidRDefault="00CB4A10" w14:paraId="7E678D46" w14:textId="77777777">
          <w:pPr>
            <w:pStyle w:val="Header"/>
            <w:jc w:val="right"/>
          </w:pPr>
          <w:r w:rsidR="09883AE4">
            <w:drawing>
              <wp:inline wp14:editId="1E79BD57" wp14:anchorId="11BDA26F">
                <wp:extent cx="1089604" cy="820102"/>
                <wp:effectExtent l="0" t="0" r="0" b="0"/>
                <wp:docPr id="8" name="Picture 8" title=""/>
                <wp:cNvGraphicFramePr>
                  <a:graphicFrameLocks noChangeAspect="1"/>
                </wp:cNvGraphicFramePr>
                <a:graphic>
                  <a:graphicData uri="http://schemas.openxmlformats.org/drawingml/2006/picture">
                    <pic:pic>
                      <pic:nvPicPr>
                        <pic:cNvPr id="0" name="Picture 8"/>
                        <pic:cNvPicPr/>
                      </pic:nvPicPr>
                      <pic:blipFill>
                        <a:blip r:embed="Ra8960b8268914f2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9604" cy="820102"/>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556A7"/>
    <w:multiLevelType w:val="hybridMultilevel"/>
    <w:tmpl w:val="257EDD8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21C65682"/>
    <w:multiLevelType w:val="multilevel"/>
    <w:tmpl w:val="1994BF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7C1C23DA"/>
    <w:multiLevelType w:val="hybridMultilevel"/>
    <w:tmpl w:val="402663C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2A4166"/>
    <w:rsid w:val="002C15A6"/>
    <w:rsid w:val="0042040D"/>
    <w:rsid w:val="005501B4"/>
    <w:rsid w:val="005A0C69"/>
    <w:rsid w:val="0072768E"/>
    <w:rsid w:val="00CB4A10"/>
    <w:rsid w:val="00CB5ECD"/>
    <w:rsid w:val="00D42BA0"/>
    <w:rsid w:val="00EA6352"/>
    <w:rsid w:val="00F54DE0"/>
    <w:rsid w:val="07BBD420"/>
    <w:rsid w:val="09883AE4"/>
    <w:rsid w:val="14C9CA5A"/>
    <w:rsid w:val="18B43C12"/>
    <w:rsid w:val="1B27C82D"/>
    <w:rsid w:val="2C541697"/>
    <w:rsid w:val="2D110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paragraph" w:styleId="Heading3">
    <w:name w:val="heading 3"/>
    <w:basedOn w:val="Normal"/>
    <w:next w:val="Normal"/>
    <w:link w:val="Heading3Char"/>
    <w:qFormat/>
    <w:rsid w:val="005A0C69"/>
    <w:pPr>
      <w:keepNext/>
      <w:jc w:val="both"/>
      <w:outlineLvl w:val="2"/>
    </w:pPr>
    <w:rPr>
      <w:rFonts w:ascii="Humnst777 BT" w:hAnsi="Humnst777 BT" w:eastAsia="Times New Roman" w:cs="Times New Roman"/>
      <w:b/>
      <w:bCs/>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character" w:styleId="Heading3Char" w:customStyle="1">
    <w:name w:val="Heading 3 Char"/>
    <w:basedOn w:val="DefaultParagraphFont"/>
    <w:link w:val="Heading3"/>
    <w:rsid w:val="005A0C69"/>
    <w:rPr>
      <w:rFonts w:ascii="Humnst777 BT" w:hAnsi="Humnst777 BT" w:eastAsia="Times New Roman" w:cs="Times New Roman"/>
      <w:b/>
      <w:bC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&#65279;<?xml version="1.0" encoding="utf-8"?><Relationships xmlns="http://schemas.openxmlformats.org/package/2006/relationships"><Relationship Type="http://schemas.openxmlformats.org/officeDocument/2006/relationships/image" Target="/media/image4.png" Id="Ra8960b8268914f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Guest User</lastModifiedBy>
  <revision>6</revision>
  <dcterms:created xsi:type="dcterms:W3CDTF">2019-03-04T12:59:00.0000000Z</dcterms:created>
  <dcterms:modified xsi:type="dcterms:W3CDTF">2020-12-14T14:37:20.6126749Z</dcterms:modified>
</coreProperties>
</file>